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A" w:rsidRDefault="002A61C7">
      <w:pPr>
        <w:pStyle w:val="N01Y"/>
      </w:pPr>
      <w:r>
        <w:t>1781.</w:t>
      </w:r>
    </w:p>
    <w:p w:rsidR="0000757A" w:rsidRDefault="002A61C7">
      <w:pPr>
        <w:pStyle w:val="N02Y"/>
      </w:pPr>
      <w:r>
        <w:t>Na osnovu člana 16, 24 i člana 29 stav 2 Zakona o državnoj imovini ("Službeni list Crne Gore", broj 21/09), člana 38 stav 1 tačka 9 Zakona o lokalnoj samoupravi ("Službeni list CG", broj 02/18 i 34/19), člana 46 stav 1 tačka 9 Statuta Opštine u okviru Glavnog grada - Golubovci ("Službeni list CG - Opštinski propisi", broj 12/19), Skupština Opštine u okviru Glavnog grada - Golubovci, na IX sjednici održanoj 18.10.2019. godine, donijela je -</w:t>
      </w:r>
    </w:p>
    <w:p w:rsidR="0000757A" w:rsidRDefault="002A61C7">
      <w:pPr>
        <w:pStyle w:val="N03Y"/>
      </w:pPr>
      <w:r>
        <w:t>ODLUKA</w:t>
      </w:r>
    </w:p>
    <w:p w:rsidR="0000757A" w:rsidRDefault="002A61C7">
      <w:pPr>
        <w:pStyle w:val="N03Y"/>
      </w:pPr>
      <w:r>
        <w:t>o javno-privatnom partnerstvu za uređenje lokacije u zahvatu UP "Sportsko rekreativni kompleks Balabani"</w:t>
      </w:r>
    </w:p>
    <w:p w:rsidR="0000757A" w:rsidRDefault="002A61C7">
      <w:pPr>
        <w:pStyle w:val="N05Y"/>
      </w:pPr>
      <w:r>
        <w:t>("Službeni list Crne Gore - opštinski propisi", br. 043/19 od 01.11.2019)</w:t>
      </w:r>
    </w:p>
    <w:p w:rsidR="0000757A" w:rsidRDefault="002A61C7">
      <w:pPr>
        <w:pStyle w:val="C30X"/>
      </w:pPr>
      <w:r>
        <w:t>Član 1</w:t>
      </w:r>
    </w:p>
    <w:p w:rsidR="0000757A" w:rsidRDefault="002A61C7">
      <w:pPr>
        <w:pStyle w:val="T30X"/>
      </w:pPr>
      <w:r>
        <w:t>Odobrava se javno-privatno partnerstvo za uređenje lokacije u zahvatu UP "Sportsko rekreativni kompleks Balabani" (u daljem tekstu: javno-privatno partnerstvo) na katastarskoj parceli broj 14492/4 površine 6.159,11 m</w:t>
      </w:r>
      <w:r>
        <w:rPr>
          <w:vertAlign w:val="superscript"/>
        </w:rPr>
        <w:t>2</w:t>
      </w:r>
      <w:r>
        <w:t xml:space="preserve"> (urbanistička parcela UP1), 14492/5 površine 5.601,36 m</w:t>
      </w:r>
      <w:r>
        <w:rPr>
          <w:vertAlign w:val="superscript"/>
        </w:rPr>
        <w:t>2</w:t>
      </w:r>
      <w:r>
        <w:t xml:space="preserve"> (urbanistička parcela UP2) i katastarskoj parceli 14492/6 površine 22.067,04 m</w:t>
      </w:r>
      <w:r>
        <w:rPr>
          <w:vertAlign w:val="superscript"/>
        </w:rPr>
        <w:t>2</w:t>
      </w:r>
      <w:r>
        <w:t xml:space="preserve"> (urbanistička parcela UP 3), KO Golubovci.</w:t>
      </w:r>
    </w:p>
    <w:p w:rsidR="0000757A" w:rsidRDefault="002A61C7">
      <w:pPr>
        <w:pStyle w:val="C30X"/>
      </w:pPr>
      <w:r>
        <w:t>Član 2</w:t>
      </w:r>
    </w:p>
    <w:p w:rsidR="0000757A" w:rsidRDefault="002A61C7">
      <w:pPr>
        <w:pStyle w:val="T30X"/>
      </w:pPr>
      <w:r>
        <w:t>Uređenje lokacije u zahvatu UP "Sportsko rekreativni kompleks Balabani" obuhvata:</w:t>
      </w:r>
    </w:p>
    <w:p w:rsidR="0000757A" w:rsidRDefault="002A61C7">
      <w:pPr>
        <w:pStyle w:val="T30X"/>
        <w:ind w:left="567" w:hanging="283"/>
      </w:pPr>
      <w:r>
        <w:t xml:space="preserve">   1. Urbanistička parcela UP 1:</w:t>
      </w:r>
    </w:p>
    <w:p w:rsidR="0000757A" w:rsidRDefault="002A61C7">
      <w:pPr>
        <w:pStyle w:val="T30X"/>
        <w:ind w:left="1134" w:hanging="283"/>
      </w:pPr>
      <w:r>
        <w:t xml:space="preserve">      - teren za tenis dimenzija 37.0 m x 18.0 m - igralište na otvorenom uz mogućnost pokrivanja montažno demontažnom strukturom;</w:t>
      </w:r>
    </w:p>
    <w:p w:rsidR="0000757A" w:rsidRDefault="002A61C7">
      <w:pPr>
        <w:pStyle w:val="T30X"/>
        <w:ind w:left="1134" w:hanging="283"/>
      </w:pPr>
      <w:r>
        <w:t xml:space="preserve">      - teren za boćanje dimenzija 24.0 x 3.0;</w:t>
      </w:r>
    </w:p>
    <w:p w:rsidR="0000757A" w:rsidRDefault="002A61C7">
      <w:pPr>
        <w:pStyle w:val="T30X"/>
        <w:ind w:left="1134" w:hanging="283"/>
      </w:pPr>
      <w:r>
        <w:t xml:space="preserve">      - teren za šah;</w:t>
      </w:r>
    </w:p>
    <w:p w:rsidR="0000757A" w:rsidRDefault="002A61C7">
      <w:pPr>
        <w:pStyle w:val="T30X"/>
        <w:ind w:left="1134" w:hanging="283"/>
      </w:pPr>
      <w:r>
        <w:t xml:space="preserve">      - kafe bar/svlačionica sa tuš kabinama;</w:t>
      </w:r>
    </w:p>
    <w:p w:rsidR="0000757A" w:rsidRDefault="002A61C7">
      <w:pPr>
        <w:pStyle w:val="T30X"/>
        <w:ind w:left="1134" w:hanging="283"/>
      </w:pPr>
      <w:r>
        <w:t xml:space="preserve">      - trim staza;</w:t>
      </w:r>
    </w:p>
    <w:p w:rsidR="0000757A" w:rsidRDefault="002A61C7">
      <w:pPr>
        <w:pStyle w:val="T30X"/>
        <w:ind w:left="1134" w:hanging="283"/>
      </w:pPr>
      <w:r>
        <w:t xml:space="preserve">      - parking;</w:t>
      </w:r>
    </w:p>
    <w:p w:rsidR="0000757A" w:rsidRDefault="002A61C7">
      <w:pPr>
        <w:pStyle w:val="T30X"/>
        <w:ind w:left="567" w:hanging="283"/>
      </w:pPr>
      <w:r>
        <w:t xml:space="preserve">   2. Urbanistička parcela UP 2:</w:t>
      </w:r>
    </w:p>
    <w:p w:rsidR="0000757A" w:rsidRDefault="002A61C7">
      <w:pPr>
        <w:pStyle w:val="T30X"/>
        <w:ind w:left="1134" w:hanging="283"/>
      </w:pPr>
      <w:r>
        <w:t xml:space="preserve">      - tematski park na otvorenom;</w:t>
      </w:r>
    </w:p>
    <w:p w:rsidR="0000757A" w:rsidRDefault="002A61C7">
      <w:pPr>
        <w:pStyle w:val="T30X"/>
        <w:ind w:left="1134" w:hanging="283"/>
      </w:pPr>
      <w:r>
        <w:t xml:space="preserve">      - teren za stoni tenis dimenzija 12.20 x 6.10 - igralište na otvorenom;</w:t>
      </w:r>
    </w:p>
    <w:p w:rsidR="0000757A" w:rsidRDefault="002A61C7">
      <w:pPr>
        <w:pStyle w:val="T30X"/>
        <w:ind w:left="1134" w:hanging="283"/>
      </w:pPr>
      <w:r>
        <w:t xml:space="preserve">      - dječje igralište na otvorenom;</w:t>
      </w:r>
    </w:p>
    <w:p w:rsidR="0000757A" w:rsidRDefault="002A61C7">
      <w:pPr>
        <w:pStyle w:val="T30X"/>
        <w:ind w:left="1134" w:hanging="283"/>
      </w:pPr>
      <w:r>
        <w:t xml:space="preserve">      - tim staza;</w:t>
      </w:r>
    </w:p>
    <w:p w:rsidR="0000757A" w:rsidRDefault="002A61C7">
      <w:pPr>
        <w:pStyle w:val="T30X"/>
        <w:ind w:left="1134" w:hanging="283"/>
      </w:pPr>
      <w:r>
        <w:t xml:space="preserve">      - kafe bar;</w:t>
      </w:r>
    </w:p>
    <w:p w:rsidR="0000757A" w:rsidRDefault="002A61C7">
      <w:pPr>
        <w:pStyle w:val="T30X"/>
        <w:ind w:left="567" w:hanging="283"/>
      </w:pPr>
      <w:r>
        <w:t xml:space="preserve">   3. Urbanistička parcela UP 3:</w:t>
      </w:r>
    </w:p>
    <w:p w:rsidR="0000757A" w:rsidRDefault="002A61C7">
      <w:pPr>
        <w:pStyle w:val="T30X"/>
        <w:ind w:left="1134" w:hanging="283"/>
      </w:pPr>
      <w:r>
        <w:t xml:space="preserve">      - kafe bar/svlačionica sa tuš kabinama;</w:t>
      </w:r>
    </w:p>
    <w:p w:rsidR="0000757A" w:rsidRDefault="002A61C7">
      <w:pPr>
        <w:pStyle w:val="T30X"/>
        <w:ind w:left="1134" w:hanging="283"/>
      </w:pPr>
      <w:r>
        <w:t xml:space="preserve">      - teren za ekipne sportove dim 34.0 x 20.0 (košarka, odbojka)- igralište na otvorenom uz mogućnost pokrivanja montažno-demontažnom strukturom;</w:t>
      </w:r>
    </w:p>
    <w:p w:rsidR="0000757A" w:rsidRDefault="002A61C7">
      <w:pPr>
        <w:pStyle w:val="T30X"/>
        <w:ind w:left="1134" w:hanging="283"/>
      </w:pPr>
      <w:r>
        <w:t xml:space="preserve">      - teren za ekstremne sportive (skejt, roleri)-igralište na otvorenom;</w:t>
      </w:r>
    </w:p>
    <w:p w:rsidR="0000757A" w:rsidRDefault="002A61C7">
      <w:pPr>
        <w:pStyle w:val="T30X"/>
        <w:ind w:left="1134" w:hanging="283"/>
      </w:pPr>
      <w:r>
        <w:t xml:space="preserve">      - fudbalski teren dimenzija 56.0 x 100.0 m;</w:t>
      </w:r>
    </w:p>
    <w:p w:rsidR="0000757A" w:rsidRDefault="002A61C7">
      <w:pPr>
        <w:pStyle w:val="T30X"/>
        <w:ind w:left="1134" w:hanging="283"/>
      </w:pPr>
      <w:r>
        <w:t xml:space="preserve">      - tribina sa 460 sjedišta, tehničke prostorije, sanitarni čvor i ambulanta ispod tribune;</w:t>
      </w:r>
    </w:p>
    <w:p w:rsidR="0000757A" w:rsidRDefault="002A61C7">
      <w:pPr>
        <w:pStyle w:val="T30X"/>
        <w:ind w:left="1134" w:hanging="283"/>
      </w:pPr>
      <w:r>
        <w:t xml:space="preserve">      - atletska staza sa 6 traka dužine 130 metara;</w:t>
      </w:r>
    </w:p>
    <w:p w:rsidR="0000757A" w:rsidRDefault="002A61C7">
      <w:pPr>
        <w:pStyle w:val="T30X"/>
        <w:ind w:left="1134" w:hanging="283"/>
      </w:pPr>
      <w:r>
        <w:t xml:space="preserve">      - teren za ekipne sportove dim 40.0 x 35.0 (rukomet) - igralište na otvorenom uz mogućnost pokrivanja montažno-demontažnom strukturom;</w:t>
      </w:r>
    </w:p>
    <w:p w:rsidR="0000757A" w:rsidRDefault="002A61C7">
      <w:pPr>
        <w:pStyle w:val="T30X"/>
        <w:ind w:left="1134" w:hanging="283"/>
      </w:pPr>
      <w:r>
        <w:t xml:space="preserve">      - dječje igralište na otvorenom;</w:t>
      </w:r>
    </w:p>
    <w:p w:rsidR="0000757A" w:rsidRDefault="002A61C7">
      <w:pPr>
        <w:pStyle w:val="T30X"/>
        <w:ind w:left="1134" w:hanging="283"/>
      </w:pPr>
      <w:r>
        <w:t xml:space="preserve">      - kafe bar;</w:t>
      </w:r>
    </w:p>
    <w:p w:rsidR="0000757A" w:rsidRDefault="002A61C7">
      <w:pPr>
        <w:pStyle w:val="T30X"/>
        <w:ind w:left="1134" w:hanging="283"/>
      </w:pPr>
      <w:r>
        <w:t xml:space="preserve">      - trim staza;</w:t>
      </w:r>
    </w:p>
    <w:p w:rsidR="0000757A" w:rsidRDefault="002A61C7">
      <w:pPr>
        <w:pStyle w:val="T30X"/>
        <w:ind w:left="1134" w:hanging="283"/>
      </w:pPr>
      <w:r>
        <w:t xml:space="preserve">      - parking.</w:t>
      </w:r>
    </w:p>
    <w:p w:rsidR="0000757A" w:rsidRDefault="002A61C7">
      <w:pPr>
        <w:pStyle w:val="T30X"/>
      </w:pPr>
      <w:r>
        <w:t>Privatni partner će na osnovu projektnog zadatka pripremiti idejno rješenje, a po zaključenju ugovora o javno-privatnom partnerstvu i glavni projekat uređenja iz stava 1 ovog člana, sve na osnovu važećeg UP "Sportsko rekreativni kompleks Balabani".</w:t>
      </w:r>
    </w:p>
    <w:p w:rsidR="0000757A" w:rsidRDefault="002A61C7">
      <w:pPr>
        <w:pStyle w:val="C30X"/>
      </w:pPr>
      <w:r>
        <w:lastRenderedPageBreak/>
        <w:t>Član 3</w:t>
      </w:r>
    </w:p>
    <w:p w:rsidR="0000757A" w:rsidRDefault="002A61C7">
      <w:pPr>
        <w:pStyle w:val="T30X"/>
      </w:pPr>
      <w:r>
        <w:t>Opština u okviru Glavnog grada - Golubovci (u daljem tekstu: Opština) je vlasnik stvari koje će nastati uređenjem iz člana 2 ove odluke.</w:t>
      </w:r>
    </w:p>
    <w:p w:rsidR="0000757A" w:rsidRDefault="002A61C7">
      <w:pPr>
        <w:pStyle w:val="T30X"/>
      </w:pPr>
      <w:r>
        <w:t>Uslove za korišćenje terena i objekta iz člana 2 stav 1 ove odluke određuje privatni partner, osim objekata koji će biti na slobodnom raspolaganju (trim staza, pješačka staza, dječje igralište na otvorenom).</w:t>
      </w:r>
    </w:p>
    <w:p w:rsidR="0000757A" w:rsidRDefault="002A61C7">
      <w:pPr>
        <w:pStyle w:val="T30X"/>
      </w:pPr>
      <w:r>
        <w:t>Privatni partner izmiruje poreze, takse, naknade i druge dažbine proistekle iz uređenja iz člana 2 stav 1 ove odluke.</w:t>
      </w:r>
    </w:p>
    <w:p w:rsidR="0000757A" w:rsidRDefault="002A61C7">
      <w:pPr>
        <w:pStyle w:val="T30X"/>
      </w:pPr>
      <w:r>
        <w:t>Nakon isteka ugovora o javno-privatnom partnerstvu, privatni partner će Opštini predati sve stvari koje su nastale uređenjem iz člana 2 stav 1 ove odluke.</w:t>
      </w:r>
    </w:p>
    <w:p w:rsidR="0000757A" w:rsidRDefault="002A61C7">
      <w:pPr>
        <w:pStyle w:val="C30X"/>
      </w:pPr>
      <w:r>
        <w:t>Član 4</w:t>
      </w:r>
    </w:p>
    <w:p w:rsidR="0000757A" w:rsidRDefault="002A61C7">
      <w:pPr>
        <w:pStyle w:val="T30X"/>
      </w:pPr>
      <w:r>
        <w:t>Javnim pozivom preciziraće se uslovi za realizaciju javno-privatnog partnerstva.</w:t>
      </w:r>
    </w:p>
    <w:p w:rsidR="0000757A" w:rsidRDefault="002A61C7">
      <w:pPr>
        <w:pStyle w:val="T30X"/>
      </w:pPr>
      <w:r>
        <w:t>Svaka od urbanističkih parcela može biti predmet posebnog javnog poziva.</w:t>
      </w:r>
    </w:p>
    <w:p w:rsidR="0000757A" w:rsidRDefault="002A61C7">
      <w:pPr>
        <w:pStyle w:val="T30X"/>
      </w:pPr>
      <w:r>
        <w:t>Privatni partner je ponuđač čija ponuda bude izabrana u postupku dodjele ugovora i sa kojim je zaključen ugovor o javno-privatnom partnerstvu na određeni vremenski period, ne duži od 20 godina.</w:t>
      </w:r>
    </w:p>
    <w:p w:rsidR="0000757A" w:rsidRDefault="002A61C7">
      <w:pPr>
        <w:pStyle w:val="T30X"/>
      </w:pPr>
      <w:r>
        <w:t>Dodjela ugovora o javno-privatnom partnerstvu vrši se po sistemu izbora najpovoljnijeg ponuđača u postupku prikupljanja pisanih ponuda u zatvorenim kovertama.</w:t>
      </w:r>
    </w:p>
    <w:p w:rsidR="0000757A" w:rsidRDefault="002A61C7">
      <w:pPr>
        <w:pStyle w:val="C30X"/>
      </w:pPr>
      <w:r>
        <w:t>Član 5</w:t>
      </w:r>
    </w:p>
    <w:p w:rsidR="0000757A" w:rsidRDefault="002A61C7">
      <w:pPr>
        <w:pStyle w:val="T30X"/>
      </w:pPr>
      <w:r>
        <w:t>Postupak za izbor najpovoljnijeg ponuđača sprovešće Komisija za sprovođenje tenderskog postupka za realizaciju javno-privatnog partnerstva za uređenje lokacije u zahvatu UP "Sportsko rekreativni kompleks Balabani" (u daljem tekstu: Komisija).</w:t>
      </w:r>
    </w:p>
    <w:p w:rsidR="0000757A" w:rsidRDefault="002A61C7">
      <w:pPr>
        <w:pStyle w:val="T30X"/>
      </w:pPr>
      <w:r>
        <w:t>Komisiju obrazuje predsjednik Opštine.</w:t>
      </w:r>
    </w:p>
    <w:p w:rsidR="0000757A" w:rsidRDefault="002A61C7">
      <w:pPr>
        <w:pStyle w:val="T30X"/>
      </w:pPr>
      <w:r>
        <w:t>Direkcija za imovinu Glavnog grada - Podgorica i Sekretarijat za planiranje i održivi razvoj Glavnog grada - Podgorice, Komisiji će staviti na uvid dokumentaciju i podatke sa kojima raspolažu za potrebe realizacije javno-privatnog partnerstva.</w:t>
      </w:r>
    </w:p>
    <w:p w:rsidR="0000757A" w:rsidRDefault="002A61C7">
      <w:pPr>
        <w:pStyle w:val="C30X"/>
      </w:pPr>
      <w:r>
        <w:t>Član 6</w:t>
      </w:r>
    </w:p>
    <w:p w:rsidR="0000757A" w:rsidRDefault="002A61C7">
      <w:pPr>
        <w:pStyle w:val="T30X"/>
      </w:pPr>
      <w:r>
        <w:t>Ovlašćuje se predsjednik Opštine da u ime Opštine u okviru Glavnog grada-Golubovci potpiše ugovor o javno-privatnom partnerstvu za uređenje lokacije u zahvatu UP "Sportsko rekreativni kompleks Balabani".</w:t>
      </w:r>
    </w:p>
    <w:p w:rsidR="0000757A" w:rsidRDefault="002A61C7">
      <w:pPr>
        <w:pStyle w:val="T30X"/>
      </w:pPr>
      <w:r>
        <w:t>Ugovor iz stava 1 ovog člana stupa na snagu danom davanja saglasnosti Skupštine Opštine.</w:t>
      </w:r>
    </w:p>
    <w:p w:rsidR="0000757A" w:rsidRDefault="002A61C7">
      <w:pPr>
        <w:pStyle w:val="N01X"/>
      </w:pPr>
      <w:r>
        <w:t>Stupanje na snagu i početak primjene</w:t>
      </w:r>
    </w:p>
    <w:p w:rsidR="0000757A" w:rsidRDefault="002A61C7">
      <w:pPr>
        <w:pStyle w:val="C30X"/>
      </w:pPr>
      <w:r>
        <w:t>Član 7</w:t>
      </w:r>
    </w:p>
    <w:p w:rsidR="0000757A" w:rsidRDefault="002A61C7">
      <w:pPr>
        <w:pStyle w:val="T30X"/>
      </w:pPr>
      <w:r>
        <w:t>Ova odluka stupa na snagu osmog dana od dana objavljivanja u "Službenom listu CG - Opštinski propisi", a primjenjivaće se od dana davanja saglasnosti Skupštine Glavnog grada - Podgorice.</w:t>
      </w:r>
    </w:p>
    <w:p w:rsidR="0000757A" w:rsidRDefault="002A61C7">
      <w:pPr>
        <w:pStyle w:val="N01Z"/>
      </w:pPr>
      <w:r>
        <w:t>Broj: 22-030/19-4223</w:t>
      </w:r>
    </w:p>
    <w:p w:rsidR="0000757A" w:rsidRDefault="002A61C7">
      <w:pPr>
        <w:pStyle w:val="N01Z"/>
      </w:pPr>
      <w:r>
        <w:t>Anovi, 18.10.2019. godine</w:t>
      </w:r>
    </w:p>
    <w:p w:rsidR="0000757A" w:rsidRDefault="002A61C7">
      <w:pPr>
        <w:pStyle w:val="N01Z"/>
      </w:pPr>
      <w:r>
        <w:t>SKUPŠTINA OPŠTINE U OKVIRU GLAVNOG GRADA-GOLUBOVCI</w:t>
      </w:r>
    </w:p>
    <w:p w:rsidR="0000757A" w:rsidRDefault="002A61C7">
      <w:pPr>
        <w:pStyle w:val="N01Z"/>
      </w:pPr>
      <w:r>
        <w:t>PREDSJEDNIK SKUPŠTINE</w:t>
      </w:r>
    </w:p>
    <w:p w:rsidR="002A61C7" w:rsidRDefault="002A61C7">
      <w:pPr>
        <w:pStyle w:val="N01Z"/>
      </w:pPr>
      <w:r>
        <w:t>Ratko Stijepović, s.r.</w:t>
      </w:r>
    </w:p>
    <w:sectPr w:rsidR="002A61C7" w:rsidSect="0000757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E8" w:rsidRDefault="00391AE8">
      <w:r>
        <w:separator/>
      </w:r>
    </w:p>
  </w:endnote>
  <w:endnote w:type="continuationSeparator" w:id="0">
    <w:p w:rsidR="00391AE8" w:rsidRDefault="0039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00757A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757A" w:rsidRDefault="0000757A">
          <w:pPr>
            <w:pStyle w:val="Fotter"/>
          </w:pPr>
          <w:hyperlink w:anchor="http___www_katalogpropisa_me" w:history="1">
            <w:r w:rsidR="002A61C7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757A" w:rsidRDefault="0000757A">
          <w:pPr>
            <w:pStyle w:val="Fotter"/>
            <w:jc w:val="right"/>
          </w:pPr>
          <w:r>
            <w:fldChar w:fldCharType="begin"/>
          </w:r>
          <w:r w:rsidR="002A61C7">
            <w:instrText>PAGE</w:instrText>
          </w:r>
          <w:r>
            <w:fldChar w:fldCharType="separate"/>
          </w:r>
          <w:r w:rsidR="00653D0F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00757A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757A" w:rsidRDefault="0000757A">
          <w:pPr>
            <w:pStyle w:val="Fotter"/>
          </w:pPr>
          <w:hyperlink w:anchor="http___www_katalogpropisa_me" w:history="1">
            <w:r w:rsidR="002A61C7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757A" w:rsidRDefault="0000757A">
          <w:pPr>
            <w:pStyle w:val="Fotter"/>
            <w:jc w:val="right"/>
          </w:pPr>
          <w:r>
            <w:fldChar w:fldCharType="begin"/>
          </w:r>
          <w:r w:rsidR="002A61C7">
            <w:instrText>PAGE</w:instrText>
          </w:r>
          <w:r>
            <w:fldChar w:fldCharType="separate"/>
          </w:r>
          <w:r w:rsidR="00653D0F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E8" w:rsidRDefault="00391AE8">
      <w:r>
        <w:separator/>
      </w:r>
    </w:p>
  </w:footnote>
  <w:footnote w:type="continuationSeparator" w:id="0">
    <w:p w:rsidR="00391AE8" w:rsidRDefault="0039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7A" w:rsidRDefault="002A61C7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7A" w:rsidRDefault="002A61C7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28C"/>
    <w:rsid w:val="0000757A"/>
    <w:rsid w:val="002A61C7"/>
    <w:rsid w:val="00391AE8"/>
    <w:rsid w:val="00653D0F"/>
    <w:rsid w:val="007C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0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00757A"/>
  </w:style>
  <w:style w:type="paragraph" w:customStyle="1" w:styleId="Heading1">
    <w:name w:val="Heading1"/>
    <w:basedOn w:val="Normal"/>
    <w:uiPriority w:val="99"/>
    <w:rsid w:val="0000757A"/>
    <w:pPr>
      <w:outlineLvl w:val="0"/>
    </w:pPr>
  </w:style>
  <w:style w:type="paragraph" w:customStyle="1" w:styleId="Heading2">
    <w:name w:val="Heading2"/>
    <w:basedOn w:val="Heading1"/>
    <w:uiPriority w:val="99"/>
    <w:rsid w:val="0000757A"/>
    <w:pPr>
      <w:outlineLvl w:val="1"/>
    </w:pPr>
  </w:style>
  <w:style w:type="paragraph" w:customStyle="1" w:styleId="Heading3">
    <w:name w:val="Heading3"/>
    <w:basedOn w:val="Heading2"/>
    <w:uiPriority w:val="99"/>
    <w:rsid w:val="0000757A"/>
    <w:pPr>
      <w:outlineLvl w:val="2"/>
    </w:pPr>
  </w:style>
  <w:style w:type="paragraph" w:customStyle="1" w:styleId="Heading4">
    <w:name w:val="Heading4"/>
    <w:basedOn w:val="Heading3"/>
    <w:uiPriority w:val="99"/>
    <w:rsid w:val="0000757A"/>
    <w:pPr>
      <w:outlineLvl w:val="3"/>
    </w:pPr>
  </w:style>
  <w:style w:type="paragraph" w:customStyle="1" w:styleId="Heading5">
    <w:name w:val="Heading5"/>
    <w:basedOn w:val="Heading4"/>
    <w:uiPriority w:val="99"/>
    <w:rsid w:val="0000757A"/>
    <w:pPr>
      <w:outlineLvl w:val="4"/>
    </w:pPr>
  </w:style>
  <w:style w:type="paragraph" w:customStyle="1" w:styleId="Heading6">
    <w:name w:val="Heading6"/>
    <w:basedOn w:val="Heading5"/>
    <w:uiPriority w:val="99"/>
    <w:rsid w:val="0000757A"/>
    <w:pPr>
      <w:outlineLvl w:val="5"/>
    </w:pPr>
  </w:style>
  <w:style w:type="paragraph" w:customStyle="1" w:styleId="Heading7">
    <w:name w:val="Heading7"/>
    <w:basedOn w:val="Heading6"/>
    <w:uiPriority w:val="99"/>
    <w:rsid w:val="0000757A"/>
    <w:pPr>
      <w:outlineLvl w:val="6"/>
    </w:pPr>
  </w:style>
  <w:style w:type="paragraph" w:customStyle="1" w:styleId="Heading8">
    <w:name w:val="Heading8"/>
    <w:basedOn w:val="Heading7"/>
    <w:uiPriority w:val="99"/>
    <w:rsid w:val="0000757A"/>
    <w:pPr>
      <w:outlineLvl w:val="7"/>
    </w:pPr>
  </w:style>
  <w:style w:type="paragraph" w:customStyle="1" w:styleId="Heading9">
    <w:name w:val="Heading9"/>
    <w:basedOn w:val="Heading8"/>
    <w:uiPriority w:val="99"/>
    <w:rsid w:val="0000757A"/>
    <w:pPr>
      <w:outlineLvl w:val="8"/>
    </w:pPr>
  </w:style>
  <w:style w:type="paragraph" w:styleId="List">
    <w:name w:val="List"/>
    <w:basedOn w:val="Normal"/>
    <w:uiPriority w:val="99"/>
    <w:rsid w:val="0000757A"/>
  </w:style>
  <w:style w:type="paragraph" w:customStyle="1" w:styleId="Footnote">
    <w:name w:val="Footnote"/>
    <w:basedOn w:val="Normal"/>
    <w:uiPriority w:val="99"/>
    <w:rsid w:val="0000757A"/>
  </w:style>
  <w:style w:type="paragraph" w:styleId="Header">
    <w:name w:val="header"/>
    <w:basedOn w:val="Normal"/>
    <w:link w:val="HeaderChar"/>
    <w:uiPriority w:val="99"/>
    <w:rsid w:val="0000757A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757A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757A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757A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00757A"/>
  </w:style>
  <w:style w:type="paragraph" w:customStyle="1" w:styleId="InvalidStyleName">
    <w:name w:val="InvalidStyleName"/>
    <w:basedOn w:val="Normal"/>
    <w:uiPriority w:val="99"/>
    <w:rsid w:val="0000757A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00757A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0757A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00757A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00757A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00757A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00757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00757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00757A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00757A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00757A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00757A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00757A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00757A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00757A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00757A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00757A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00757A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00757A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00757A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00757A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00757A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00757A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00757A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2020-07-01T12:11:00Z</dcterms:created>
  <dcterms:modified xsi:type="dcterms:W3CDTF">2020-07-01T12:11:00Z</dcterms:modified>
</cp:coreProperties>
</file>